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95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15"/>
        <w:gridCol w:w="9135"/>
        <w:tblGridChange w:id="0">
          <w:tblGrid>
            <w:gridCol w:w="1815"/>
            <w:gridCol w:w="9135"/>
          </w:tblGrid>
        </w:tblGridChange>
      </w:tblGrid>
      <w:tr>
        <w:trPr>
          <w:cantSplit w:val="1"/>
          <w:tblHeader w:val="0"/>
        </w:trPr>
        <w:tc>
          <w:tcPr>
            <w:gridSpan w:val="2"/>
            <w:tcMar>
              <w:top w:w="130.0" w:type="dxa"/>
              <w:bottom w:w="130.0" w:type="dxa"/>
            </w:tcMar>
          </w:tcPr>
          <w:p w:rsidR="00000000" w:rsidDel="00000000" w:rsidP="00000000" w:rsidRDefault="00000000" w:rsidRPr="00000000" w14:paraId="00000002">
            <w:pPr>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Devenir auditeur Qualiopi</w:t>
            </w:r>
            <w:r w:rsidDel="00000000" w:rsidR="00000000" w:rsidRPr="00000000">
              <w:rPr>
                <w:rtl w:val="0"/>
              </w:rPr>
            </w:r>
          </w:p>
        </w:tc>
      </w:tr>
      <w:tr>
        <w:trPr>
          <w:cantSplit w:val="1"/>
          <w:tblHeader w:val="0"/>
        </w:trPr>
        <w:tc>
          <w:tcPr>
            <w:shd w:fill="f2f2f2" w:val="clear"/>
            <w:tcMar>
              <w:top w:w="90.0" w:type="dxa"/>
              <w:bottom w:w="90.0" w:type="dxa"/>
            </w:tcMar>
            <w:vAlign w:val="center"/>
          </w:tcPr>
          <w:p w:rsidR="00000000" w:rsidDel="00000000" w:rsidP="00000000" w:rsidRDefault="00000000" w:rsidRPr="00000000" w14:paraId="00000004">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Public</w:t>
            </w:r>
          </w:p>
        </w:tc>
        <w:tc>
          <w:tcPr>
            <w:tcMar>
              <w:top w:w="90.0" w:type="dxa"/>
              <w:bottom w:w="90.0" w:type="dxa"/>
            </w:tcMar>
            <w:vAlign w:val="center"/>
          </w:tcPr>
          <w:p w:rsidR="00000000" w:rsidDel="00000000" w:rsidP="00000000" w:rsidRDefault="00000000" w:rsidRPr="00000000" w14:paraId="00000005">
            <w:pPr>
              <w:spacing w:after="4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Futurs auditeurs Qualiopi, consultants en qualité, responsables de formation.</w:t>
            </w:r>
            <w:r w:rsidDel="00000000" w:rsidR="00000000" w:rsidRPr="00000000">
              <w:rPr>
                <w:rtl w:val="0"/>
              </w:rPr>
            </w:r>
          </w:p>
        </w:tc>
      </w:tr>
      <w:tr>
        <w:trPr>
          <w:cantSplit w:val="1"/>
          <w:tblHeader w:val="0"/>
        </w:trPr>
        <w:tc>
          <w:tcPr>
            <w:shd w:fill="f2f2f2" w:val="clear"/>
            <w:tcMar>
              <w:top w:w="90.0" w:type="dxa"/>
              <w:bottom w:w="90.0" w:type="dxa"/>
            </w:tcMar>
            <w:vAlign w:val="center"/>
          </w:tcPr>
          <w:p w:rsidR="00000000" w:rsidDel="00000000" w:rsidP="00000000" w:rsidRDefault="00000000" w:rsidRPr="00000000" w14:paraId="0000000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Prérequis</w:t>
            </w:r>
          </w:p>
        </w:tc>
        <w:tc>
          <w:tcPr>
            <w:tcMar>
              <w:top w:w="90.0" w:type="dxa"/>
              <w:bottom w:w="90.0" w:type="dxa"/>
            </w:tcMar>
            <w:vAlign w:val="center"/>
          </w:tcPr>
          <w:p w:rsidR="00000000" w:rsidDel="00000000" w:rsidP="00000000" w:rsidRDefault="00000000" w:rsidRPr="00000000" w14:paraId="00000007">
            <w:pPr>
              <w:spacing w:after="4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Aucun</w:t>
            </w:r>
            <w:r w:rsidDel="00000000" w:rsidR="00000000" w:rsidRPr="00000000">
              <w:rPr>
                <w:rtl w:val="0"/>
              </w:rPr>
            </w:r>
          </w:p>
        </w:tc>
      </w:tr>
      <w:tr>
        <w:trPr>
          <w:cantSplit w:val="1"/>
          <w:tblHeader w:val="0"/>
        </w:trPr>
        <w:tc>
          <w:tcPr>
            <w:shd w:fill="f2f2f2" w:val="clear"/>
            <w:tcMar>
              <w:top w:w="90.0" w:type="dxa"/>
              <w:bottom w:w="90.0" w:type="dxa"/>
            </w:tcMar>
            <w:vAlign w:val="center"/>
          </w:tcPr>
          <w:p w:rsidR="00000000" w:rsidDel="00000000" w:rsidP="00000000" w:rsidRDefault="00000000" w:rsidRPr="00000000" w14:paraId="0000000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DISPOSITIONS</w:t>
              <w:br w:type="textWrapping"/>
              <w:t xml:space="preserve">PRATIQUES</w:t>
            </w:r>
          </w:p>
        </w:tc>
        <w:tc>
          <w:tcPr>
            <w:tcMar>
              <w:top w:w="90.0" w:type="dxa"/>
              <w:bottom w:w="90.0" w:type="dxa"/>
            </w:tcMar>
            <w:vAlign w:val="center"/>
          </w:tcPr>
          <w:p w:rsidR="00000000" w:rsidDel="00000000" w:rsidP="00000000" w:rsidRDefault="00000000" w:rsidRPr="00000000" w14:paraId="00000009">
            <w:pPr>
              <w:spacing w:after="4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Effectif maximum : 5 participants</w:t>
            </w:r>
            <w:r w:rsidDel="00000000" w:rsidR="00000000" w:rsidRPr="00000000">
              <w:rPr>
                <w:rtl w:val="0"/>
              </w:rPr>
            </w:r>
          </w:p>
        </w:tc>
      </w:tr>
      <w:tr>
        <w:trPr>
          <w:cantSplit w:val="1"/>
          <w:tblHeader w:val="0"/>
        </w:trPr>
        <w:tc>
          <w:tcPr>
            <w:shd w:fill="f2f2f2" w:val="clear"/>
            <w:tcMar>
              <w:top w:w="90.0" w:type="dxa"/>
              <w:bottom w:w="90.0" w:type="dxa"/>
            </w:tcMar>
            <w:vAlign w:val="center"/>
          </w:tcPr>
          <w:p w:rsidR="00000000" w:rsidDel="00000000" w:rsidP="00000000" w:rsidRDefault="00000000" w:rsidRPr="00000000" w14:paraId="0000000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Modalités et délai</w:t>
              <w:br w:type="textWrapping"/>
              <w:t xml:space="preserve">d’accès</w:t>
            </w:r>
          </w:p>
        </w:tc>
        <w:tc>
          <w:tcPr>
            <w:tcMar>
              <w:top w:w="90.0" w:type="dxa"/>
              <w:bottom w:w="90.0" w:type="dxa"/>
            </w:tcMar>
            <w:vAlign w:val="center"/>
          </w:tcPr>
          <w:p w:rsidR="00000000" w:rsidDel="00000000" w:rsidP="00000000" w:rsidRDefault="00000000" w:rsidRPr="00000000" w14:paraId="0000000B">
            <w:pPr>
              <w:spacing w:after="4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Inscription auprès de L’Étape Formation – g.beheng@etape-formation.fr / 06.46.81.88.58</w:t>
              <w:br w:type="textWrapping"/>
              <w:t xml:space="preserve">L’inscription doit être réalisée au minimum 15 jours avant le début de la formation.</w:t>
            </w:r>
            <w:r w:rsidDel="00000000" w:rsidR="00000000" w:rsidRPr="00000000">
              <w:rPr>
                <w:rtl w:val="0"/>
              </w:rPr>
            </w:r>
          </w:p>
        </w:tc>
      </w:tr>
      <w:tr>
        <w:trPr>
          <w:cantSplit w:val="1"/>
          <w:tblHeader w:val="0"/>
        </w:trPr>
        <w:tc>
          <w:tcPr>
            <w:shd w:fill="f2f2f2" w:val="clear"/>
            <w:tcMar>
              <w:top w:w="90.0" w:type="dxa"/>
              <w:bottom w:w="90.0" w:type="dxa"/>
            </w:tcMar>
            <w:vAlign w:val="center"/>
          </w:tcPr>
          <w:p w:rsidR="00000000" w:rsidDel="00000000" w:rsidP="00000000" w:rsidRDefault="00000000" w:rsidRPr="00000000" w14:paraId="0000000C">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Présentation générale</w:t>
              <w:br w:type="textWrapping"/>
              <w:t xml:space="preserve">(problématique, intérêt)</w:t>
            </w:r>
          </w:p>
        </w:tc>
        <w:tc>
          <w:tcPr>
            <w:tcMar>
              <w:top w:w="90.0" w:type="dxa"/>
              <w:bottom w:w="90.0" w:type="dxa"/>
            </w:tcMar>
            <w:vAlign w:val="center"/>
          </w:tcPr>
          <w:p w:rsidR="00000000" w:rsidDel="00000000" w:rsidP="00000000" w:rsidRDefault="00000000" w:rsidRPr="00000000" w14:paraId="0000000D">
            <w:pPr>
              <w:spacing w:after="4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La formation permet d’acquérir une méthode structurée pour préparer, conduire et conclure un audit Qualiopi. Elle articule les principes et techniques de l’audit issus de l’ISO 19011 avec l’analyse opérationnelle du Référentiel national qualité.</w:t>
            </w:r>
            <w:r w:rsidDel="00000000" w:rsidR="00000000" w:rsidRPr="00000000">
              <w:rPr>
                <w:rtl w:val="0"/>
              </w:rPr>
            </w:r>
          </w:p>
          <w:p w:rsidR="00000000" w:rsidDel="00000000" w:rsidP="00000000" w:rsidRDefault="00000000" w:rsidRPr="00000000" w14:paraId="0000000E">
            <w:pPr>
              <w:spacing w:after="4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Organisée principalement à distance, elle privilégie la pratique : entretiens simulés, recherche de preuves, formulation des constats, réunion de clôture et audit virtuel.</w:t>
            </w:r>
            <w:r w:rsidDel="00000000" w:rsidR="00000000" w:rsidRPr="00000000">
              <w:rPr>
                <w:rtl w:val="0"/>
              </w:rPr>
            </w:r>
          </w:p>
        </w:tc>
      </w:tr>
      <w:tr>
        <w:trPr>
          <w:cantSplit w:val="1"/>
          <w:tblHeader w:val="0"/>
        </w:trPr>
        <w:tc>
          <w:tcPr>
            <w:shd w:fill="f2f2f2" w:val="clear"/>
            <w:tcMar>
              <w:top w:w="90.0" w:type="dxa"/>
              <w:bottom w:w="90.0" w:type="dxa"/>
            </w:tcMar>
            <w:vAlign w:val="center"/>
          </w:tcPr>
          <w:p w:rsidR="00000000" w:rsidDel="00000000" w:rsidP="00000000" w:rsidRDefault="00000000" w:rsidRPr="00000000" w14:paraId="0000000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Objectifs</w:t>
            </w:r>
          </w:p>
        </w:tc>
        <w:tc>
          <w:tcPr>
            <w:tcMar>
              <w:top w:w="90.0" w:type="dxa"/>
              <w:bottom w:w="90.0" w:type="dxa"/>
            </w:tcMar>
            <w:vAlign w:val="center"/>
          </w:tcPr>
          <w:p w:rsidR="00000000" w:rsidDel="00000000" w:rsidP="00000000" w:rsidRDefault="00000000" w:rsidRPr="00000000" w14:paraId="0000001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Comprendre les principes de l’audit et le rôle de l’auditeur.</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Appliquer une méthodologie de préparation, de réalisation et de clôture d’un audit.</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Conduire un entretien d’audit et recueillir des preuves objectives.</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Formuler des constats, écarts et non-conformités de manière factuelle.</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Analyser les 7 critères et les 32 indicateurs du Référentiel national qualité.</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Préparer et conduire un audit Qualiopi en situation simulée.</w:t>
            </w:r>
          </w:p>
        </w:tc>
      </w:tr>
      <w:tr>
        <w:trPr>
          <w:cantSplit w:val="1"/>
          <w:tblHeader w:val="0"/>
        </w:trPr>
        <w:tc>
          <w:tcPr>
            <w:shd w:fill="f2f2f2" w:val="clear"/>
            <w:tcMar>
              <w:top w:w="90.0" w:type="dxa"/>
              <w:bottom w:w="90.0" w:type="dxa"/>
            </w:tcMar>
            <w:vAlign w:val="center"/>
          </w:tcPr>
          <w:p w:rsidR="00000000" w:rsidDel="00000000" w:rsidP="00000000" w:rsidRDefault="00000000" w:rsidRPr="00000000" w14:paraId="0000001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Contenu de la formation</w:t>
            </w:r>
          </w:p>
        </w:tc>
        <w:tc>
          <w:tcPr>
            <w:tcMar>
              <w:top w:w="90.0" w:type="dxa"/>
              <w:bottom w:w="90.0" w:type="dxa"/>
            </w:tcMar>
            <w:vAlign w:val="center"/>
          </w:tcPr>
          <w:p w:rsidR="00000000" w:rsidDel="00000000" w:rsidP="00000000" w:rsidRDefault="00000000" w:rsidRPr="00000000" w14:paraId="00000018">
            <w:pPr>
              <w:spacing w:after="40" w:line="240" w:lineRule="auto"/>
              <w:rPr>
                <w:rFonts w:ascii="Calibri" w:cs="Calibri" w:eastAsia="Calibri" w:hAnsi="Calibri"/>
                <w:sz w:val="22"/>
                <w:szCs w:val="22"/>
              </w:rPr>
            </w:pPr>
            <w:r w:rsidDel="00000000" w:rsidR="00000000" w:rsidRPr="00000000">
              <w:rPr>
                <w:rFonts w:ascii="Calibri" w:cs="Calibri" w:eastAsia="Calibri" w:hAnsi="Calibri"/>
                <w:b w:val="1"/>
                <w:bCs w:val="1"/>
                <w:i w:val="0"/>
                <w:iCs w:val="0"/>
                <w:sz w:val="22"/>
                <w:szCs w:val="22"/>
                <w:rtl w:val="0"/>
              </w:rPr>
              <w:t xml:space="preserve">JOUR 1 – Principes et techniques de l’audit (7 heures – deux demi-journées)</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Principes, finalités et typologie des audits.</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Référentiel méthodologique ISO 19011 : déontologie, indépendance, approche fondée sur les preuves et échantillonnage.</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Méthodologie de réalisation d’un audit : préparation, plan d’audit, réunion d’ouverture, entretiens, collecte et analyse des preuves.</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Techniques de questionnement, d’écoute, de reformulation et de prise de notes.</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Rédaction des constats et préparation de la réunion de clôture.</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Exercices courts et mises en situation : entretien d’audit, formulation d’un constat et simulation de réunion de clôture.</w:t>
            </w:r>
          </w:p>
          <w:p w:rsidR="00000000" w:rsidDel="00000000" w:rsidP="00000000" w:rsidRDefault="00000000" w:rsidRPr="00000000" w14:paraId="0000001F">
            <w:pPr>
              <w:spacing w:after="20" w:line="240" w:lineRule="auto"/>
              <w:rPr>
                <w:rFonts w:ascii="Calibri" w:cs="Calibri" w:eastAsia="Calibri" w:hAnsi="Calibri"/>
                <w:sz w:val="22"/>
                <w:szCs w:val="22"/>
              </w:rPr>
            </w:pPr>
            <w:r w:rsidDel="00000000" w:rsidR="00000000" w:rsidRPr="00000000">
              <w:rPr>
                <w:rFonts w:ascii="Calibri" w:cs="Calibri" w:eastAsia="Calibri" w:hAnsi="Calibri"/>
                <w:b w:val="1"/>
                <w:bCs w:val="1"/>
                <w:i w:val="0"/>
                <w:iCs w:val="0"/>
                <w:sz w:val="22"/>
                <w:szCs w:val="22"/>
                <w:rtl w:val="0"/>
              </w:rPr>
              <w:t xml:space="preserve">JOUR 2 – Application au Référentiel national qualité (7 heures – deux demi-journées)</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Présentation du dispositif Qualiopi et des différents cycles d’audit.</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Étude des 7 critères et des 32 indicateurs du Référentiel national qualité.</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Identification des preuves attendues et analyse de situations de conformité ou de non-conformité.</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Construction d’un questionnement d’audit adapté à l’activité de l’organisme.</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Mise en situation virtuelle d’audit Qualiopi : entretien, recherche de preuves, formulation des constats et restitution.</w:t>
            </w:r>
          </w:p>
        </w:tc>
      </w:tr>
      <w:tr>
        <w:trPr>
          <w:cantSplit w:val="1"/>
          <w:tblHeader w:val="0"/>
        </w:trPr>
        <w:tc>
          <w:tcPr>
            <w:shd w:fill="f2f2f2" w:val="clear"/>
            <w:tcMar>
              <w:top w:w="90.0" w:type="dxa"/>
              <w:bottom w:w="90.0" w:type="dxa"/>
            </w:tcMar>
            <w:vAlign w:val="center"/>
          </w:tcPr>
          <w:p w:rsidR="00000000" w:rsidDel="00000000" w:rsidP="00000000" w:rsidRDefault="00000000" w:rsidRPr="00000000" w14:paraId="0000002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Modalités pédagogiques</w:t>
            </w:r>
          </w:p>
        </w:tc>
        <w:tc>
          <w:tcPr>
            <w:tcMar>
              <w:top w:w="90.0" w:type="dxa"/>
              <w:bottom w:w="90.0" w:type="dxa"/>
            </w:tcMar>
            <w:vAlign w:val="center"/>
          </w:tcPr>
          <w:p w:rsidR="00000000" w:rsidDel="00000000" w:rsidP="00000000" w:rsidRDefault="00000000" w:rsidRPr="00000000" w14:paraId="00000026">
            <w:pPr>
              <w:spacing w:after="40" w:line="240" w:lineRule="auto"/>
              <w:rPr>
                <w:rFonts w:ascii="Calibri" w:cs="Calibri" w:eastAsia="Calibri" w:hAnsi="Calibri"/>
                <w:sz w:val="22"/>
                <w:szCs w:val="22"/>
              </w:rPr>
            </w:pPr>
            <w:r w:rsidDel="00000000" w:rsidR="00000000" w:rsidRPr="00000000">
              <w:rPr>
                <w:rFonts w:ascii="Calibri" w:cs="Calibri" w:eastAsia="Calibri" w:hAnsi="Calibri"/>
                <w:b w:val="1"/>
                <w:bCs w:val="1"/>
                <w:i w:val="0"/>
                <w:iCs w:val="0"/>
                <w:sz w:val="22"/>
                <w:szCs w:val="22"/>
                <w:rtl w:val="0"/>
              </w:rPr>
              <w:t xml:space="preserve">Références et supports :</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Référentiel national qualité et guide de lecture Qualiopi.</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Norme ISO 19011 relative aux lignes directrices pour l’audit des systèmes de management.</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Supports de formation, grilles d’audit et études de cas.</w:t>
            </w:r>
          </w:p>
          <w:p w:rsidR="00000000" w:rsidDel="00000000" w:rsidP="00000000" w:rsidRDefault="00000000" w:rsidRPr="00000000" w14:paraId="0000002A">
            <w:pPr>
              <w:spacing w:after="40" w:line="240" w:lineRule="auto"/>
              <w:rPr>
                <w:rFonts w:ascii="Calibri" w:cs="Calibri" w:eastAsia="Calibri" w:hAnsi="Calibri"/>
                <w:sz w:val="22"/>
                <w:szCs w:val="22"/>
              </w:rPr>
            </w:pPr>
            <w:r w:rsidDel="00000000" w:rsidR="00000000" w:rsidRPr="00000000">
              <w:rPr>
                <w:rFonts w:ascii="Calibri" w:cs="Calibri" w:eastAsia="Calibri" w:hAnsi="Calibri"/>
                <w:b w:val="1"/>
                <w:bCs w:val="1"/>
                <w:i w:val="0"/>
                <w:iCs w:val="0"/>
                <w:sz w:val="22"/>
                <w:szCs w:val="22"/>
                <w:rtl w:val="0"/>
              </w:rPr>
              <w:t xml:space="preserve">Méthodes et organisation :</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Formation principalement réalisée en visioconférence.</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Alternance d’apports méthodologiques, d’échanges dirigés et d’exercices pratiques.</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Mises en situation virtuelles d’audit, jeux de rôles auditeur/audité et débriefings collectifs.</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Adaptation des exercices au profil et aux besoins des participants.</w:t>
            </w:r>
          </w:p>
        </w:tc>
      </w:tr>
      <w:tr>
        <w:trPr>
          <w:cantSplit w:val="1"/>
          <w:tblHeader w:val="0"/>
        </w:trPr>
        <w:tc>
          <w:tcPr>
            <w:shd w:fill="f2f2f2" w:val="clear"/>
            <w:tcMar>
              <w:top w:w="90.0" w:type="dxa"/>
              <w:bottom w:w="90.0" w:type="dxa"/>
            </w:tcMar>
            <w:vAlign w:val="center"/>
          </w:tcPr>
          <w:p w:rsidR="00000000" w:rsidDel="00000000" w:rsidP="00000000" w:rsidRDefault="00000000" w:rsidRPr="00000000" w14:paraId="0000002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Moyens d’encadrement de la formation</w:t>
            </w:r>
          </w:p>
        </w:tc>
        <w:tc>
          <w:tcPr>
            <w:tcMar>
              <w:top w:w="90.0" w:type="dxa"/>
              <w:bottom w:w="90.0" w:type="dxa"/>
            </w:tcMar>
            <w:vAlign w:val="center"/>
          </w:tcPr>
          <w:p w:rsidR="00000000" w:rsidDel="00000000" w:rsidP="00000000" w:rsidRDefault="00000000" w:rsidRPr="00000000" w14:paraId="00000030">
            <w:pPr>
              <w:spacing w:after="4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La formation est animée par un professionnel maîtrisant les techniques d’audit et le Référentiel national qualité. Un support pédagogique, des grilles de travail et des consignes de mise en situation sont mis à disposition des participants.</w:t>
            </w:r>
            <w:r w:rsidDel="00000000" w:rsidR="00000000" w:rsidRPr="00000000">
              <w:rPr>
                <w:rtl w:val="0"/>
              </w:rPr>
            </w:r>
          </w:p>
        </w:tc>
      </w:tr>
      <w:tr>
        <w:trPr>
          <w:cantSplit w:val="1"/>
          <w:tblHeader w:val="0"/>
        </w:trPr>
        <w:tc>
          <w:tcPr>
            <w:shd w:fill="f2f2f2" w:val="clear"/>
            <w:tcMar>
              <w:top w:w="90.0" w:type="dxa"/>
              <w:bottom w:w="90.0" w:type="dxa"/>
            </w:tcMar>
            <w:vAlign w:val="center"/>
          </w:tcPr>
          <w:p w:rsidR="00000000" w:rsidDel="00000000" w:rsidP="00000000" w:rsidRDefault="00000000" w:rsidRPr="00000000" w14:paraId="0000003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Durée</w:t>
            </w:r>
          </w:p>
        </w:tc>
        <w:tc>
          <w:tcPr>
            <w:tcMar>
              <w:top w:w="90.0" w:type="dxa"/>
              <w:bottom w:w="90.0" w:type="dxa"/>
            </w:tcMar>
            <w:vAlign w:val="center"/>
          </w:tcPr>
          <w:p w:rsidR="00000000" w:rsidDel="00000000" w:rsidP="00000000" w:rsidRDefault="00000000" w:rsidRPr="00000000" w14:paraId="00000032">
            <w:pPr>
              <w:spacing w:after="4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Durée totale : 14 heures, organisées en 4 demi-journées ou en 2 journées consécutives.</w:t>
            </w:r>
            <w:r w:rsidDel="00000000" w:rsidR="00000000" w:rsidRPr="00000000">
              <w:rPr>
                <w:rtl w:val="0"/>
              </w:rPr>
            </w:r>
          </w:p>
        </w:tc>
      </w:tr>
      <w:tr>
        <w:trPr>
          <w:cantSplit w:val="1"/>
          <w:tblHeader w:val="0"/>
        </w:trPr>
        <w:tc>
          <w:tcPr>
            <w:shd w:fill="f2f2f2" w:val="clear"/>
            <w:tcMar>
              <w:top w:w="90.0" w:type="dxa"/>
              <w:bottom w:w="90.0" w:type="dxa"/>
            </w:tcMar>
            <w:vAlign w:val="center"/>
          </w:tcPr>
          <w:p w:rsidR="00000000" w:rsidDel="00000000" w:rsidP="00000000" w:rsidRDefault="00000000" w:rsidRPr="00000000" w14:paraId="0000003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Dates</w:t>
            </w:r>
          </w:p>
        </w:tc>
        <w:tc>
          <w:tcPr>
            <w:tcMar>
              <w:top w:w="90.0" w:type="dxa"/>
              <w:bottom w:w="90.0" w:type="dxa"/>
            </w:tcMar>
            <w:vAlign w:val="center"/>
          </w:tcPr>
          <w:p w:rsidR="00000000" w:rsidDel="00000000" w:rsidP="00000000" w:rsidRDefault="00000000" w:rsidRPr="00000000" w14:paraId="00000034">
            <w:pPr>
              <w:spacing w:after="4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Nous consulter. Organisation possible en 4 demi-journées ou en 2 journées consécutives, selon les besoins définis avec le client.</w:t>
            </w:r>
            <w:r w:rsidDel="00000000" w:rsidR="00000000" w:rsidRPr="00000000">
              <w:rPr>
                <w:rtl w:val="0"/>
              </w:rPr>
            </w:r>
          </w:p>
        </w:tc>
      </w:tr>
      <w:tr>
        <w:trPr>
          <w:cantSplit w:val="1"/>
          <w:tblHeader w:val="0"/>
        </w:trPr>
        <w:tc>
          <w:tcPr>
            <w:shd w:fill="f2f2f2" w:val="clear"/>
            <w:tcMar>
              <w:top w:w="90.0" w:type="dxa"/>
              <w:bottom w:w="90.0" w:type="dxa"/>
            </w:tcMar>
            <w:vAlign w:val="center"/>
          </w:tcPr>
          <w:p w:rsidR="00000000" w:rsidDel="00000000" w:rsidP="00000000" w:rsidRDefault="00000000" w:rsidRPr="00000000" w14:paraId="0000003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Lieu(x)</w:t>
            </w:r>
          </w:p>
        </w:tc>
        <w:tc>
          <w:tcPr>
            <w:tcMar>
              <w:top w:w="90.0" w:type="dxa"/>
              <w:bottom w:w="90.0" w:type="dxa"/>
            </w:tcMar>
            <w:vAlign w:val="center"/>
          </w:tcPr>
          <w:p w:rsidR="00000000" w:rsidDel="00000000" w:rsidP="00000000" w:rsidRDefault="00000000" w:rsidRPr="00000000" w14:paraId="00000036">
            <w:pPr>
              <w:spacing w:after="4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Principalement en visioconférence.</w:t>
            </w:r>
            <w:r w:rsidDel="00000000" w:rsidR="00000000" w:rsidRPr="00000000">
              <w:rPr>
                <w:rtl w:val="0"/>
              </w:rPr>
            </w:r>
          </w:p>
        </w:tc>
      </w:tr>
      <w:tr>
        <w:trPr>
          <w:cantSplit w:val="1"/>
          <w:tblHeader w:val="0"/>
        </w:trPr>
        <w:tc>
          <w:tcPr>
            <w:shd w:fill="f2f2f2" w:val="clear"/>
            <w:tcMar>
              <w:top w:w="90.0" w:type="dxa"/>
              <w:bottom w:w="90.0" w:type="dxa"/>
            </w:tcMar>
            <w:vAlign w:val="center"/>
          </w:tcPr>
          <w:p w:rsidR="00000000" w:rsidDel="00000000" w:rsidP="00000000" w:rsidRDefault="00000000" w:rsidRPr="00000000" w14:paraId="00000037">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Coût</w:t>
            </w:r>
          </w:p>
        </w:tc>
        <w:tc>
          <w:tcPr>
            <w:tcMar>
              <w:top w:w="90.0" w:type="dxa"/>
              <w:bottom w:w="90.0" w:type="dxa"/>
            </w:tcMar>
            <w:vAlign w:val="center"/>
          </w:tcPr>
          <w:p w:rsidR="00000000" w:rsidDel="00000000" w:rsidP="00000000" w:rsidRDefault="00000000" w:rsidRPr="00000000" w14:paraId="00000038">
            <w:pPr>
              <w:spacing w:after="4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À partir de 1 990 € HT pour la formation de 14 heures, organisée en 4 demi-journées ou en 2 journées consécutives. Devis établi selon les modalités retenues.</w:t>
            </w:r>
            <w:r w:rsidDel="00000000" w:rsidR="00000000" w:rsidRPr="00000000">
              <w:rPr>
                <w:rtl w:val="0"/>
              </w:rPr>
            </w:r>
          </w:p>
        </w:tc>
      </w:tr>
      <w:tr>
        <w:trPr>
          <w:cantSplit w:val="1"/>
          <w:tblHeader w:val="0"/>
        </w:trPr>
        <w:tc>
          <w:tcPr>
            <w:shd w:fill="f2f2f2" w:val="clear"/>
            <w:tcMar>
              <w:top w:w="90.0" w:type="dxa"/>
              <w:bottom w:w="90.0" w:type="dxa"/>
            </w:tcMar>
            <w:vAlign w:val="center"/>
          </w:tcPr>
          <w:p w:rsidR="00000000" w:rsidDel="00000000" w:rsidP="00000000" w:rsidRDefault="00000000" w:rsidRPr="00000000" w14:paraId="00000039">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Accessibilité</w:t>
            </w:r>
          </w:p>
        </w:tc>
        <w:tc>
          <w:tcPr>
            <w:tcMar>
              <w:top w:w="90.0" w:type="dxa"/>
              <w:bottom w:w="90.0" w:type="dxa"/>
            </w:tcMar>
            <w:vAlign w:val="center"/>
          </w:tcPr>
          <w:p w:rsidR="00000000" w:rsidDel="00000000" w:rsidP="00000000" w:rsidRDefault="00000000" w:rsidRPr="00000000" w14:paraId="0000003A">
            <w:pPr>
              <w:spacing w:after="4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Un entretien préalable permet d’identifier les besoins d’aménagement liés à une situation de handicap. Les modalités pédagogiques et organisationnelles sont adaptées, dans la mesure du possible, aux besoins du participant.</w:t>
            </w:r>
            <w:r w:rsidDel="00000000" w:rsidR="00000000" w:rsidRPr="00000000">
              <w:rPr>
                <w:rtl w:val="0"/>
              </w:rPr>
            </w:r>
          </w:p>
        </w:tc>
      </w:tr>
      <w:tr>
        <w:trPr>
          <w:cantSplit w:val="1"/>
          <w:tblHeader w:val="0"/>
        </w:trPr>
        <w:tc>
          <w:tcPr>
            <w:shd w:fill="f2f2f2" w:val="clear"/>
            <w:tcMar>
              <w:top w:w="90.0" w:type="dxa"/>
              <w:bottom w:w="90.0" w:type="dxa"/>
            </w:tcMar>
            <w:vAlign w:val="center"/>
          </w:tcPr>
          <w:p w:rsidR="00000000" w:rsidDel="00000000" w:rsidP="00000000" w:rsidRDefault="00000000" w:rsidRPr="00000000" w14:paraId="0000003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Responsable de l’action,</w:t>
              <w:br w:type="textWrapping"/>
              <w:t xml:space="preserve">Contact</w:t>
            </w:r>
          </w:p>
        </w:tc>
        <w:tc>
          <w:tcPr>
            <w:tcMar>
              <w:top w:w="90.0" w:type="dxa"/>
              <w:bottom w:w="90.0" w:type="dxa"/>
            </w:tcMar>
            <w:vAlign w:val="center"/>
          </w:tcPr>
          <w:p w:rsidR="00000000" w:rsidDel="00000000" w:rsidP="00000000" w:rsidRDefault="00000000" w:rsidRPr="00000000" w14:paraId="0000003C">
            <w:pPr>
              <w:spacing w:after="4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Gautier BEHENG</w:t>
              <w:br w:type="textWrapping"/>
              <w:t xml:space="preserve">g.beheng@etape-formation.fr</w:t>
              <w:br w:type="textWrapping"/>
              <w:t xml:space="preserve">06.46.81.88.58</w:t>
            </w:r>
            <w:r w:rsidDel="00000000" w:rsidR="00000000" w:rsidRPr="00000000">
              <w:rPr>
                <w:rtl w:val="0"/>
              </w:rPr>
            </w:r>
          </w:p>
        </w:tc>
      </w:tr>
      <w:tr>
        <w:trPr>
          <w:cantSplit w:val="1"/>
          <w:tblHeader w:val="0"/>
        </w:trPr>
        <w:tc>
          <w:tcPr>
            <w:shd w:fill="f2f2f2" w:val="clear"/>
            <w:tcMar>
              <w:top w:w="90.0" w:type="dxa"/>
              <w:bottom w:w="90.0" w:type="dxa"/>
            </w:tcMar>
            <w:vAlign w:val="center"/>
          </w:tcPr>
          <w:p w:rsidR="00000000" w:rsidDel="00000000" w:rsidP="00000000" w:rsidRDefault="00000000" w:rsidRPr="00000000" w14:paraId="0000003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Formateur</w:t>
            </w:r>
          </w:p>
        </w:tc>
        <w:tc>
          <w:tcPr>
            <w:tcMar>
              <w:top w:w="90.0" w:type="dxa"/>
              <w:bottom w:w="90.0" w:type="dxa"/>
            </w:tcMar>
            <w:vAlign w:val="center"/>
          </w:tcPr>
          <w:p w:rsidR="00000000" w:rsidDel="00000000" w:rsidP="00000000" w:rsidRDefault="00000000" w:rsidRPr="00000000" w14:paraId="0000003E">
            <w:pPr>
              <w:spacing w:after="4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Gautier BEHENG</w:t>
              <w:br w:type="textWrapping"/>
              <w:t xml:space="preserve">g.beheng@etape-formation.fr</w:t>
              <w:br w:type="textWrapping"/>
              <w:t xml:space="preserve">06.46.81.88.58</w:t>
            </w:r>
            <w:r w:rsidDel="00000000" w:rsidR="00000000" w:rsidRPr="00000000">
              <w:rPr>
                <w:rtl w:val="0"/>
              </w:rPr>
            </w:r>
          </w:p>
        </w:tc>
      </w:tr>
      <w:tr>
        <w:trPr>
          <w:cantSplit w:val="1"/>
          <w:tblHeader w:val="0"/>
        </w:trPr>
        <w:tc>
          <w:tcPr>
            <w:shd w:fill="f2f2f2" w:val="clear"/>
            <w:tcMar>
              <w:top w:w="90.0" w:type="dxa"/>
              <w:bottom w:w="90.0" w:type="dxa"/>
            </w:tcMar>
            <w:vAlign w:val="center"/>
          </w:tcPr>
          <w:p w:rsidR="00000000" w:rsidDel="00000000" w:rsidP="00000000" w:rsidRDefault="00000000" w:rsidRPr="00000000" w14:paraId="0000003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Suivi de l’action</w:t>
            </w:r>
          </w:p>
        </w:tc>
        <w:tc>
          <w:tcPr>
            <w:tcMar>
              <w:top w:w="90.0" w:type="dxa"/>
              <w:bottom w:w="90.0" w:type="dxa"/>
            </w:tcMar>
            <w:vAlign w:val="center"/>
          </w:tcPr>
          <w:p w:rsidR="00000000" w:rsidDel="00000000" w:rsidP="00000000" w:rsidRDefault="00000000" w:rsidRPr="00000000" w14:paraId="0000004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Émargement.</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Attestation de fin de formation.</w:t>
            </w:r>
          </w:p>
        </w:tc>
      </w:tr>
      <w:tr>
        <w:trPr>
          <w:cantSplit w:val="1"/>
          <w:tblHeader w:val="0"/>
        </w:trPr>
        <w:tc>
          <w:tcPr>
            <w:shd w:fill="f2f2f2" w:val="clear"/>
            <w:tcMar>
              <w:top w:w="90.0" w:type="dxa"/>
              <w:bottom w:w="90.0" w:type="dxa"/>
            </w:tcMar>
            <w:vAlign w:val="center"/>
          </w:tcPr>
          <w:p w:rsidR="00000000" w:rsidDel="00000000" w:rsidP="00000000" w:rsidRDefault="00000000" w:rsidRPr="00000000" w14:paraId="0000004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Évaluation de l’action</w:t>
            </w:r>
          </w:p>
        </w:tc>
        <w:tc>
          <w:tcPr>
            <w:tcMar>
              <w:top w:w="90.0" w:type="dxa"/>
              <w:bottom w:w="90.0" w:type="dxa"/>
            </w:tcMar>
            <w:vAlign w:val="center"/>
          </w:tcPr>
          <w:p w:rsidR="00000000" w:rsidDel="00000000" w:rsidP="00000000" w:rsidRDefault="00000000" w:rsidRPr="00000000" w14:paraId="00000044">
            <w:pPr>
              <w:spacing w:after="40" w:line="240" w:lineRule="auto"/>
              <w:rPr>
                <w:rFonts w:ascii="Calibri" w:cs="Calibri" w:eastAsia="Calibri" w:hAnsi="Calibri"/>
                <w:sz w:val="22"/>
                <w:szCs w:val="22"/>
              </w:rPr>
            </w:pPr>
            <w:r w:rsidDel="00000000" w:rsidR="00000000" w:rsidRPr="00000000">
              <w:rPr>
                <w:rFonts w:ascii="Calibri" w:cs="Calibri" w:eastAsia="Calibri" w:hAnsi="Calibri"/>
                <w:i w:val="0"/>
                <w:iCs w:val="0"/>
                <w:sz w:val="22"/>
                <w:szCs w:val="22"/>
                <w:rtl w:val="0"/>
              </w:rPr>
              <w:t xml:space="preserve">L’acquisition des compétences et la satisfaction des participants sont évaluées au moyen de :</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Une mise en pratique en situation virtuelle d’audit Qualiopi.</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Un QCM portant sur les principes de l’audit, l’ISO 19011 et le Référentiel national qualité.</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0" w:before="0" w:line="240" w:lineRule="auto"/>
              <w:ind w:left="360" w:right="0" w:hanging="360"/>
              <w:jc w:val="left"/>
              <w:rPr>
                <w:rFonts w:ascii="Calibri" w:cs="Calibri" w:eastAsia="Calibri" w:hAnsi="Calibri"/>
                <w:sz w:val="22"/>
                <w:szCs w:val="22"/>
              </w:rPr>
            </w:pPr>
            <w:r w:rsidDel="00000000" w:rsidR="00000000" w:rsidRPr="00000000">
              <w:rPr>
                <w:rFonts w:ascii="Calibri" w:cs="Calibri" w:eastAsia="Calibri" w:hAnsi="Calibri"/>
                <w:i w:val="0"/>
                <w:iCs w:val="0"/>
                <w:smallCaps w:val="0"/>
                <w:strike w:val="0"/>
                <w:color w:val="000000"/>
                <w:sz w:val="22"/>
                <w:szCs w:val="22"/>
                <w:u w:val="none"/>
                <w:shd w:fill="auto" w:val="clear"/>
                <w:vertAlign w:val="baseline"/>
                <w:rtl w:val="0"/>
              </w:rPr>
              <w:t xml:space="preserve">Une évaluation de satisfaction à chaud.</w:t>
            </w:r>
          </w:p>
        </w:tc>
      </w:tr>
      <w:tr>
        <w:trPr>
          <w:cantSplit w:val="1"/>
          <w:tblHeader w:val="0"/>
        </w:trPr>
        <w:tc>
          <w:tcPr>
            <w:shd w:fill="f2f2f2" w:val="clear"/>
            <w:tcMar>
              <w:top w:w="90.0" w:type="dxa"/>
              <w:bottom w:w="90.0" w:type="dxa"/>
            </w:tcMar>
            <w:vAlign w:val="center"/>
          </w:tcPr>
          <w:p w:rsidR="00000000" w:rsidDel="00000000" w:rsidP="00000000" w:rsidRDefault="00000000" w:rsidRPr="00000000" w14:paraId="0000004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Indicateurs de performances</w:t>
            </w:r>
          </w:p>
          <w:p w:rsidR="00000000" w:rsidDel="00000000" w:rsidP="00000000" w:rsidRDefault="00000000" w:rsidRPr="00000000" w14:paraId="00000049">
            <w:pPr>
              <w:jc w:val="left"/>
              <w:rPr>
                <w:rFonts w:ascii="Calibri" w:cs="Calibri" w:eastAsia="Calibri" w:hAnsi="Calibri"/>
                <w:sz w:val="22"/>
                <w:szCs w:val="22"/>
              </w:rPr>
            </w:pPr>
            <w:r w:rsidDel="00000000" w:rsidR="00000000" w:rsidRPr="00000000">
              <w:rPr>
                <w:rtl w:val="0"/>
              </w:rPr>
            </w:r>
          </w:p>
        </w:tc>
        <w:tc>
          <w:tcPr>
            <w:tcMar>
              <w:top w:w="90.0" w:type="dxa"/>
              <w:bottom w:w="90.0" w:type="dxa"/>
            </w:tcMar>
            <w:vAlign w:val="center"/>
          </w:tcPr>
          <w:p w:rsidR="00000000" w:rsidDel="00000000" w:rsidP="00000000" w:rsidRDefault="00000000" w:rsidRPr="00000000" w14:paraId="0000004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100% de satisfaction</w:t>
            </w:r>
          </w:p>
          <w:p w:rsidR="00000000" w:rsidDel="00000000" w:rsidP="00000000" w:rsidRDefault="00000000" w:rsidRPr="00000000" w14:paraId="0000004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100%de réussite aux évaluations des acquis</w:t>
            </w:r>
          </w:p>
        </w:tc>
      </w:tr>
    </w:tbl>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tl w:val="0"/>
        </w:rPr>
      </w:r>
    </w:p>
    <w:sectPr>
      <w:headerReference r:id="rId7" w:type="default"/>
      <w:footerReference r:id="rId8" w:type="default"/>
      <w:pgSz w:h="15840" w:w="12240" w:orient="portrait"/>
      <w:pgMar w:bottom="652" w:top="652" w:left="652" w:right="652" w:header="198" w:footer="19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V2.0 – 07/2026</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19"/>
        <w:szCs w:val="1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
        <w:szCs w:val="19"/>
        <w:u w:val="none"/>
        <w:shd w:fill="auto" w:val="clear"/>
        <w:vertAlign w:val="baseline"/>
      </w:rPr>
      <w:drawing>
        <wp:inline distB="0" distT="0" distL="114300" distR="114300">
          <wp:extent cx="648000" cy="688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48000" cy="688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19"/>
        <w:szCs w:val="19"/>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7VkCID7ndZ0N2dc871vURzsILQ==">CgMxLjA4AHIhMUUtSDAzNkU5cGhIVUQtSkJQTGZGRklDOUN2WVUyQmRH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